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95" w:rsidRDefault="00AD3395" w:rsidP="00AD33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</w:rPr>
      </w:pPr>
      <w:r>
        <w:rPr>
          <w:i/>
          <w:color w:val="000000"/>
        </w:rPr>
        <w:t>Таблица 1. Плата за наезд на дикого зверя</w:t>
      </w:r>
    </w:p>
    <w:tbl>
      <w:tblPr>
        <w:tblW w:w="7980" w:type="dxa"/>
        <w:tblLayout w:type="fixed"/>
        <w:tblLook w:val="0600" w:firstRow="0" w:lastRow="0" w:firstColumn="0" w:lastColumn="0" w:noHBand="1" w:noVBand="1"/>
      </w:tblPr>
      <w:tblGrid>
        <w:gridCol w:w="5310"/>
        <w:gridCol w:w="2670"/>
      </w:tblGrid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Вид ресурса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Сумма за 1 особь (руб.)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Гибрид зубра с домашним скотом, бизоном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180 000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Снежный баран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Лось, горный козел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Благородный олень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Медведь, пятнистый олень, лань, сайгак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Рысь, косуля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Кабан, северный олень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Соболь, выдра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Барсук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Бобер, куница, глухарь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Тетерев, фазан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Песец, дикая кошка, норка, заяц, кролик, гусь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Утка, рябчик, куропатка, голубь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Горностай, ондатра, белка, бурундук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Волк, лиса, енот, перепел, горлица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D3395" w:rsidTr="0093572E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Крот, полевка, хомяк, суслик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395" w:rsidRDefault="00AD3395" w:rsidP="0093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AD3395" w:rsidRDefault="00AD3395" w:rsidP="00AD339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color w:val="000000"/>
        </w:rPr>
      </w:pPr>
      <w:r>
        <w:rPr>
          <w:color w:val="000000"/>
        </w:rPr>
        <w:t>Источник: приказ Минприроды № 948</w:t>
      </w:r>
    </w:p>
    <w:p w:rsidR="00B40955" w:rsidRDefault="00B40955">
      <w:bookmarkStart w:id="0" w:name="_GoBack"/>
      <w:bookmarkEnd w:id="0"/>
    </w:p>
    <w:sectPr w:rsidR="00B4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EA"/>
    <w:rsid w:val="00325F32"/>
    <w:rsid w:val="005012EA"/>
    <w:rsid w:val="00AD3395"/>
    <w:rsid w:val="00B40955"/>
    <w:rsid w:val="00F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F53D-3180-4F9D-A74D-5E78F69D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2020-09-09T05:56:00Z</dcterms:created>
  <dcterms:modified xsi:type="dcterms:W3CDTF">2020-09-09T05:57:00Z</dcterms:modified>
</cp:coreProperties>
</file>